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7A23E1D9"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r w:rsidR="00E97DE2">
        <w:rPr>
          <w:rFonts w:ascii="Arial" w:eastAsia="Arial" w:hAnsi="Arial" w:cs="Arial"/>
          <w:color w:val="000000"/>
          <w:sz w:val="24"/>
          <w:szCs w:val="24"/>
        </w:rPr>
        <w:t xml:space="preserve">formerly </w:t>
      </w:r>
      <w:r>
        <w:rPr>
          <w:rFonts w:ascii="Arial" w:eastAsia="Arial" w:hAnsi="Arial" w:cs="Arial"/>
          <w:color w:val="000000"/>
          <w:sz w:val="24"/>
          <w:szCs w:val="24"/>
        </w:rPr>
        <w:t>Canbud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50FCEED5"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1846B5" w:rsidRPr="001846B5">
        <w:rPr>
          <w:rFonts w:ascii="Arial" w:eastAsia="Arial" w:hAnsi="Arial" w:cs="Arial"/>
          <w:sz w:val="24"/>
          <w:szCs w:val="24"/>
          <w:lang w:val="en-US"/>
        </w:rPr>
        <w:t>16,189,640</w:t>
      </w:r>
    </w:p>
    <w:p w14:paraId="6E26BC25" w14:textId="60D271A2" w:rsidR="003C18DC" w:rsidRPr="00BC5669" w:rsidRDefault="004E4DBA">
      <w:pPr>
        <w:pBdr>
          <w:top w:val="nil"/>
          <w:left w:val="nil"/>
          <w:bottom w:val="nil"/>
          <w:right w:val="nil"/>
          <w:between w:val="nil"/>
        </w:pBdr>
        <w:tabs>
          <w:tab w:val="left" w:pos="7920"/>
          <w:tab w:val="left" w:pos="9180"/>
        </w:tabs>
        <w:spacing w:before="240"/>
        <w:rPr>
          <w:rFonts w:ascii="Arial" w:eastAsia="Arial" w:hAnsi="Arial" w:cs="Arial"/>
          <w:sz w:val="24"/>
          <w:szCs w:val="24"/>
        </w:rPr>
      </w:pPr>
      <w:r>
        <w:rPr>
          <w:rFonts w:ascii="Arial" w:eastAsia="Arial" w:hAnsi="Arial" w:cs="Arial"/>
          <w:color w:val="000000"/>
          <w:sz w:val="24"/>
          <w:szCs w:val="24"/>
        </w:rPr>
        <w:t xml:space="preserve">Date: </w:t>
      </w:r>
      <w:r w:rsidR="00E97DE2">
        <w:rPr>
          <w:rFonts w:ascii="Arial" w:eastAsia="Arial" w:hAnsi="Arial" w:cs="Arial"/>
          <w:color w:val="000000"/>
          <w:sz w:val="24"/>
          <w:szCs w:val="24"/>
        </w:rPr>
        <w:t>May 3</w:t>
      </w:r>
      <w:r>
        <w:rPr>
          <w:rFonts w:ascii="Arial" w:eastAsia="Arial" w:hAnsi="Arial" w:cs="Arial"/>
          <w:color w:val="000000"/>
          <w:sz w:val="24"/>
          <w:szCs w:val="24"/>
        </w:rPr>
        <w:t>, 202</w:t>
      </w:r>
      <w:r w:rsidR="00B95678">
        <w:rPr>
          <w:rFonts w:ascii="Arial" w:eastAsia="Arial" w:hAnsi="Arial" w:cs="Arial"/>
          <w:color w:val="000000"/>
          <w:sz w:val="24"/>
          <w:szCs w:val="24"/>
        </w:rPr>
        <w:t>4</w:t>
      </w:r>
      <w:r>
        <w:rPr>
          <w:rFonts w:ascii="Arial" w:eastAsia="Arial" w:hAnsi="Arial" w:cs="Arial"/>
          <w:color w:val="000000"/>
          <w:sz w:val="24"/>
          <w:szCs w:val="24"/>
        </w:rPr>
        <w:t xml:space="preserve"> – Reporting on </w:t>
      </w:r>
      <w:r w:rsidR="00E97DE2">
        <w:rPr>
          <w:rFonts w:ascii="Arial" w:eastAsia="Arial" w:hAnsi="Arial" w:cs="Arial"/>
          <w:color w:val="000000"/>
          <w:sz w:val="24"/>
          <w:szCs w:val="24"/>
        </w:rPr>
        <w:t xml:space="preserve">April </w:t>
      </w:r>
      <w:r w:rsidR="005D5AF3">
        <w:rPr>
          <w:rFonts w:ascii="Arial" w:eastAsia="Arial" w:hAnsi="Arial" w:cs="Arial"/>
          <w:color w:val="000000"/>
          <w:sz w:val="24"/>
          <w:szCs w:val="24"/>
        </w:rPr>
        <w:t>2024</w:t>
      </w:r>
    </w:p>
    <w:p w14:paraId="5F0CBCBE" w14:textId="77777777" w:rsidR="003C18DC" w:rsidRDefault="004E4DBA" w:rsidP="00040B96">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rsidP="001846B5">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rsidP="00040B96">
      <w:pPr>
        <w:numPr>
          <w:ilvl w:val="0"/>
          <w:numId w:val="5"/>
        </w:numPr>
        <w:pBdr>
          <w:top w:val="nil"/>
          <w:left w:val="nil"/>
          <w:bottom w:val="nil"/>
          <w:right w:val="nil"/>
          <w:between w:val="nil"/>
        </w:pBdr>
        <w:tabs>
          <w:tab w:val="left" w:pos="1440"/>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rsidP="00040B96">
      <w:pPr>
        <w:numPr>
          <w:ilvl w:val="0"/>
          <w:numId w:val="5"/>
        </w:numPr>
        <w:pBdr>
          <w:top w:val="nil"/>
          <w:left w:val="nil"/>
          <w:bottom w:val="nil"/>
          <w:right w:val="nil"/>
          <w:between w:val="nil"/>
        </w:pBdr>
        <w:tabs>
          <w:tab w:val="left" w:pos="1440"/>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31391F68" w14:textId="08154FF7" w:rsidR="00A64C7F" w:rsidRDefault="00A63054" w:rsidP="00077A7A">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T</w:t>
      </w:r>
      <w:r w:rsidR="00A64C7F" w:rsidRPr="00B62B12">
        <w:rPr>
          <w:rFonts w:ascii="Arial" w:eastAsia="Arial" w:hAnsi="Arial" w:cs="Arial"/>
          <w:color w:val="000000"/>
          <w:sz w:val="24"/>
          <w:szCs w:val="24"/>
        </w:rPr>
        <w:t xml:space="preserve">he company closed its </w:t>
      </w:r>
      <w:r w:rsidR="00B62B12" w:rsidRPr="00B62B12">
        <w:rPr>
          <w:rFonts w:ascii="Arial" w:eastAsia="Arial" w:hAnsi="Arial" w:cs="Arial"/>
          <w:color w:val="000000"/>
          <w:sz w:val="24"/>
          <w:szCs w:val="24"/>
        </w:rPr>
        <w:t>USA</w:t>
      </w:r>
      <w:r w:rsidR="00FB686D" w:rsidRPr="00B62B12">
        <w:rPr>
          <w:rFonts w:ascii="Arial" w:eastAsia="Arial" w:hAnsi="Arial" w:cs="Arial"/>
          <w:color w:val="000000"/>
          <w:sz w:val="24"/>
          <w:szCs w:val="24"/>
        </w:rPr>
        <w:t xml:space="preserve"> operations </w:t>
      </w:r>
      <w:r w:rsidR="00B62B12" w:rsidRPr="00B62B12">
        <w:rPr>
          <w:rFonts w:ascii="Arial" w:eastAsia="Arial" w:hAnsi="Arial" w:cs="Arial"/>
          <w:color w:val="000000"/>
          <w:sz w:val="24"/>
          <w:szCs w:val="24"/>
        </w:rPr>
        <w:t xml:space="preserve">in April </w:t>
      </w:r>
      <w:r w:rsidR="00506470">
        <w:rPr>
          <w:rFonts w:ascii="Arial" w:eastAsia="Arial" w:hAnsi="Arial" w:cs="Arial"/>
          <w:color w:val="000000"/>
          <w:sz w:val="24"/>
          <w:szCs w:val="24"/>
        </w:rPr>
        <w:t>2023</w:t>
      </w:r>
      <w:r w:rsidR="00B62B12" w:rsidRPr="00B62B12">
        <w:rPr>
          <w:rFonts w:ascii="Arial" w:eastAsia="Arial" w:hAnsi="Arial" w:cs="Arial"/>
          <w:color w:val="000000"/>
          <w:sz w:val="24"/>
          <w:szCs w:val="24"/>
        </w:rPr>
        <w:t xml:space="preserve">. </w:t>
      </w:r>
      <w:r w:rsidR="00FB686D" w:rsidRPr="00B62B12">
        <w:rPr>
          <w:rFonts w:ascii="Arial" w:eastAsia="Arial" w:hAnsi="Arial" w:cs="Arial"/>
          <w:color w:val="000000"/>
          <w:sz w:val="24"/>
          <w:szCs w:val="24"/>
        </w:rPr>
        <w:t xml:space="preserve">The Company </w:t>
      </w:r>
      <w:r w:rsidR="00A64C7F" w:rsidRPr="00B62B12">
        <w:rPr>
          <w:rFonts w:ascii="Arial" w:eastAsia="Arial" w:hAnsi="Arial" w:cs="Arial"/>
          <w:color w:val="000000"/>
          <w:sz w:val="24"/>
          <w:szCs w:val="24"/>
        </w:rPr>
        <w:t>is</w:t>
      </w:r>
      <w:r w:rsidR="00DE2FC1" w:rsidRPr="00B62B12">
        <w:rPr>
          <w:rFonts w:ascii="Arial" w:eastAsia="Arial" w:hAnsi="Arial" w:cs="Arial"/>
          <w:color w:val="000000"/>
          <w:sz w:val="24"/>
          <w:szCs w:val="24"/>
        </w:rPr>
        <w:t xml:space="preserve"> </w:t>
      </w:r>
      <w:r w:rsidR="00FB686D" w:rsidRPr="00B62B12">
        <w:rPr>
          <w:rFonts w:ascii="Arial" w:eastAsia="Arial" w:hAnsi="Arial" w:cs="Arial"/>
          <w:color w:val="000000"/>
          <w:sz w:val="24"/>
          <w:szCs w:val="24"/>
        </w:rPr>
        <w:t xml:space="preserve">continuing the restructuring to finalize its </w:t>
      </w:r>
      <w:r w:rsidR="00B62B12" w:rsidRPr="00B62B12">
        <w:rPr>
          <w:rFonts w:ascii="Arial" w:eastAsia="Arial" w:hAnsi="Arial" w:cs="Arial"/>
          <w:color w:val="000000"/>
          <w:sz w:val="24"/>
          <w:szCs w:val="24"/>
        </w:rPr>
        <w:t xml:space="preserve">financial </w:t>
      </w:r>
      <w:r w:rsidR="00FB686D" w:rsidRPr="00B62B12">
        <w:rPr>
          <w:rFonts w:ascii="Arial" w:eastAsia="Arial" w:hAnsi="Arial" w:cs="Arial"/>
          <w:color w:val="000000"/>
          <w:sz w:val="24"/>
          <w:szCs w:val="24"/>
        </w:rPr>
        <w:t>obligations</w:t>
      </w:r>
      <w:r w:rsidR="00ED47AF">
        <w:rPr>
          <w:rFonts w:ascii="Arial" w:eastAsia="Arial" w:hAnsi="Arial" w:cs="Arial"/>
          <w:color w:val="000000"/>
          <w:sz w:val="24"/>
          <w:szCs w:val="24"/>
        </w:rPr>
        <w:t xml:space="preserve">. </w:t>
      </w:r>
      <w:r w:rsidR="00B03177">
        <w:rPr>
          <w:rFonts w:ascii="Arial" w:eastAsia="Arial" w:hAnsi="Arial" w:cs="Arial"/>
          <w:color w:val="000000"/>
          <w:sz w:val="24"/>
          <w:szCs w:val="24"/>
        </w:rPr>
        <w:t xml:space="preserve"> </w:t>
      </w:r>
    </w:p>
    <w:p w14:paraId="5A326EE9" w14:textId="49DB234B" w:rsidR="00144958" w:rsidRPr="00E97DE2" w:rsidRDefault="00144958" w:rsidP="00077A7A">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In December 2023, The Company completed </w:t>
      </w:r>
      <w:r w:rsidRPr="00144958">
        <w:rPr>
          <w:rFonts w:ascii="Arial" w:eastAsia="Arial" w:hAnsi="Arial" w:cs="Arial"/>
          <w:color w:val="000000"/>
          <w:sz w:val="24"/>
          <w:szCs w:val="24"/>
          <w:lang w:val="en-US"/>
        </w:rPr>
        <w:t xml:space="preserve">share consolidation of its issued and outstanding common shares on a one (1) post-consolidation </w:t>
      </w:r>
      <w:r>
        <w:rPr>
          <w:rFonts w:ascii="Arial" w:eastAsia="Arial" w:hAnsi="Arial" w:cs="Arial"/>
          <w:color w:val="000000"/>
          <w:sz w:val="24"/>
          <w:szCs w:val="24"/>
          <w:lang w:val="en-US"/>
        </w:rPr>
        <w:t>c</w:t>
      </w:r>
      <w:r w:rsidRPr="00144958">
        <w:rPr>
          <w:rFonts w:ascii="Arial" w:eastAsia="Arial" w:hAnsi="Arial" w:cs="Arial"/>
          <w:color w:val="000000"/>
          <w:sz w:val="24"/>
          <w:szCs w:val="24"/>
          <w:lang w:val="en-US"/>
        </w:rPr>
        <w:t xml:space="preserve">ommon </w:t>
      </w:r>
      <w:r w:rsidRPr="00144958">
        <w:rPr>
          <w:rFonts w:ascii="Arial" w:eastAsia="Arial" w:hAnsi="Arial" w:cs="Arial"/>
          <w:color w:val="000000"/>
          <w:sz w:val="24"/>
          <w:szCs w:val="24"/>
          <w:lang w:val="en-US"/>
        </w:rPr>
        <w:lastRenderedPageBreak/>
        <w:t xml:space="preserve">Share for every fifteen (15) pre-consolidation </w:t>
      </w:r>
      <w:r>
        <w:rPr>
          <w:rFonts w:ascii="Arial" w:eastAsia="Arial" w:hAnsi="Arial" w:cs="Arial"/>
          <w:color w:val="000000"/>
          <w:sz w:val="24"/>
          <w:szCs w:val="24"/>
          <w:lang w:val="en-US"/>
        </w:rPr>
        <w:t>c</w:t>
      </w:r>
      <w:r w:rsidRPr="00144958">
        <w:rPr>
          <w:rFonts w:ascii="Arial" w:eastAsia="Arial" w:hAnsi="Arial" w:cs="Arial"/>
          <w:color w:val="000000"/>
          <w:sz w:val="24"/>
          <w:szCs w:val="24"/>
          <w:lang w:val="en-US"/>
        </w:rPr>
        <w:t xml:space="preserve">ommon Shares. Shareholders of the Company approved the </w:t>
      </w:r>
      <w:r w:rsidR="008C4F83">
        <w:rPr>
          <w:rFonts w:ascii="Arial" w:eastAsia="Arial" w:hAnsi="Arial" w:cs="Arial"/>
          <w:color w:val="000000"/>
          <w:sz w:val="24"/>
          <w:szCs w:val="24"/>
          <w:lang w:val="en-US"/>
        </w:rPr>
        <w:t>c</w:t>
      </w:r>
      <w:r w:rsidRPr="00144958">
        <w:rPr>
          <w:rFonts w:ascii="Arial" w:eastAsia="Arial" w:hAnsi="Arial" w:cs="Arial"/>
          <w:color w:val="000000"/>
          <w:sz w:val="24"/>
          <w:szCs w:val="24"/>
          <w:lang w:val="en-US"/>
        </w:rPr>
        <w:t>onsolidation at the Company's annual and special shareholder meeting held on July 28, 2023.</w:t>
      </w:r>
      <w:r w:rsidRPr="00144958">
        <w:rPr>
          <w:rFonts w:ascii="Helvetica" w:hAnsi="Helvetica" w:cs="Helvetica"/>
          <w:color w:val="1A1A1A"/>
          <w:sz w:val="30"/>
          <w:szCs w:val="30"/>
          <w:lang w:val="en-US"/>
        </w:rPr>
        <w:t xml:space="preserve"> </w:t>
      </w:r>
      <w:r w:rsidRPr="00144958">
        <w:rPr>
          <w:rFonts w:ascii="Arial" w:eastAsia="Arial" w:hAnsi="Arial" w:cs="Arial"/>
          <w:color w:val="000000"/>
          <w:sz w:val="24"/>
          <w:szCs w:val="24"/>
          <w:lang w:val="en-US"/>
        </w:rPr>
        <w:t xml:space="preserve">The </w:t>
      </w:r>
      <w:r>
        <w:rPr>
          <w:rFonts w:ascii="Arial" w:eastAsia="Arial" w:hAnsi="Arial" w:cs="Arial"/>
          <w:color w:val="000000"/>
          <w:sz w:val="24"/>
          <w:szCs w:val="24"/>
          <w:lang w:val="en-US"/>
        </w:rPr>
        <w:t>c</w:t>
      </w:r>
      <w:r w:rsidRPr="00144958">
        <w:rPr>
          <w:rFonts w:ascii="Arial" w:eastAsia="Arial" w:hAnsi="Arial" w:cs="Arial"/>
          <w:color w:val="000000"/>
          <w:sz w:val="24"/>
          <w:szCs w:val="24"/>
          <w:lang w:val="en-US"/>
        </w:rPr>
        <w:t>onsolidation reduce</w:t>
      </w:r>
      <w:r>
        <w:rPr>
          <w:rFonts w:ascii="Arial" w:eastAsia="Arial" w:hAnsi="Arial" w:cs="Arial"/>
          <w:color w:val="000000"/>
          <w:sz w:val="24"/>
          <w:szCs w:val="24"/>
          <w:lang w:val="en-US"/>
        </w:rPr>
        <w:t>d</w:t>
      </w:r>
      <w:r w:rsidRPr="00144958">
        <w:rPr>
          <w:rFonts w:ascii="Arial" w:eastAsia="Arial" w:hAnsi="Arial" w:cs="Arial"/>
          <w:color w:val="000000"/>
          <w:sz w:val="24"/>
          <w:szCs w:val="24"/>
          <w:lang w:val="en-US"/>
        </w:rPr>
        <w:t xml:space="preserve"> the number of outstanding </w:t>
      </w:r>
      <w:r>
        <w:rPr>
          <w:rFonts w:ascii="Arial" w:eastAsia="Arial" w:hAnsi="Arial" w:cs="Arial"/>
          <w:color w:val="000000"/>
          <w:sz w:val="24"/>
          <w:szCs w:val="24"/>
          <w:lang w:val="en-US"/>
        </w:rPr>
        <w:t>c</w:t>
      </w:r>
      <w:r w:rsidRPr="00144958">
        <w:rPr>
          <w:rFonts w:ascii="Arial" w:eastAsia="Arial" w:hAnsi="Arial" w:cs="Arial"/>
          <w:color w:val="000000"/>
          <w:sz w:val="24"/>
          <w:szCs w:val="24"/>
          <w:lang w:val="en-US"/>
        </w:rPr>
        <w:t>ommon Shares from 242,844,610 to approximately 16,189,640</w:t>
      </w:r>
      <w:r>
        <w:rPr>
          <w:rFonts w:ascii="Arial" w:eastAsia="Arial" w:hAnsi="Arial" w:cs="Arial"/>
          <w:color w:val="000000"/>
          <w:sz w:val="24"/>
          <w:szCs w:val="24"/>
          <w:lang w:val="en-US"/>
        </w:rPr>
        <w:t>.</w:t>
      </w:r>
    </w:p>
    <w:p w14:paraId="7CF797F3" w14:textId="42889A25" w:rsidR="00E97DE2" w:rsidRPr="00177AA4" w:rsidRDefault="00E97DE2" w:rsidP="00077A7A">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lang w:val="en-US"/>
        </w:rPr>
        <w:t>On April 16</w:t>
      </w:r>
      <w:r w:rsidRPr="00E97DE2">
        <w:rPr>
          <w:rFonts w:ascii="Arial" w:eastAsia="Arial" w:hAnsi="Arial" w:cs="Arial"/>
          <w:color w:val="000000"/>
          <w:sz w:val="24"/>
          <w:szCs w:val="24"/>
          <w:vertAlign w:val="superscript"/>
          <w:lang w:val="en-US"/>
        </w:rPr>
        <w:t>th</w:t>
      </w:r>
      <w:r>
        <w:rPr>
          <w:rFonts w:ascii="Arial" w:eastAsia="Arial" w:hAnsi="Arial" w:cs="Arial"/>
          <w:color w:val="000000"/>
          <w:sz w:val="24"/>
          <w:szCs w:val="24"/>
          <w:lang w:val="en-US"/>
        </w:rPr>
        <w:t xml:space="preserve"> 2024, the Company released its audited FY2023 Financial Statements including Management Discussion and Analysis. </w:t>
      </w:r>
    </w:p>
    <w:p w14:paraId="56E0244C" w14:textId="4B771376" w:rsidR="003C18DC" w:rsidRPr="00B62B12"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w:t>
      </w:r>
      <w:r w:rsidRPr="00B62B12">
        <w:rPr>
          <w:rFonts w:ascii="Arial" w:eastAsia="Arial" w:hAnsi="Arial" w:cs="Arial"/>
          <w:color w:val="000000"/>
          <w:sz w:val="24"/>
          <w:szCs w:val="24"/>
        </w:rPr>
        <w:t>ral overview and discussion of the activities of management.</w:t>
      </w:r>
    </w:p>
    <w:p w14:paraId="1BF8D83B" w14:textId="47657D25" w:rsidR="003D5CE5" w:rsidRPr="00177AA4" w:rsidRDefault="003D5CE5" w:rsidP="00A64C7F">
      <w:pPr>
        <w:pStyle w:val="NormalWeb"/>
        <w:numPr>
          <w:ilvl w:val="0"/>
          <w:numId w:val="6"/>
        </w:numPr>
        <w:shd w:val="clear" w:color="auto" w:fill="FFFFFF"/>
        <w:spacing w:before="0" w:beforeAutospacing="0" w:after="150" w:afterAutospacing="0"/>
        <w:rPr>
          <w:rFonts w:ascii="Arial" w:eastAsia="Arial" w:hAnsi="Arial" w:cs="Arial"/>
          <w:color w:val="000000"/>
          <w:lang w:val="en-GB"/>
        </w:rPr>
      </w:pPr>
      <w:r w:rsidRPr="00177AA4">
        <w:rPr>
          <w:rFonts w:ascii="Arial" w:eastAsia="Arial" w:hAnsi="Arial" w:cs="Arial"/>
          <w:color w:val="000000"/>
        </w:rPr>
        <w:t xml:space="preserve">Steep Hill </w:t>
      </w:r>
      <w:r w:rsidR="00B62B12" w:rsidRPr="00177AA4">
        <w:rPr>
          <w:rFonts w:ascii="Arial" w:eastAsia="Arial" w:hAnsi="Arial" w:cs="Arial"/>
          <w:color w:val="000000"/>
        </w:rPr>
        <w:t xml:space="preserve">continues to assess and clear its financial obligations in </w:t>
      </w:r>
      <w:r w:rsidR="00377B19" w:rsidRPr="00177AA4">
        <w:rPr>
          <w:rFonts w:ascii="Arial" w:eastAsia="Arial" w:hAnsi="Arial" w:cs="Arial"/>
          <w:color w:val="000000"/>
        </w:rPr>
        <w:t xml:space="preserve">the </w:t>
      </w:r>
      <w:r w:rsidR="00B62B12" w:rsidRPr="00177AA4">
        <w:rPr>
          <w:rFonts w:ascii="Arial" w:eastAsia="Arial" w:hAnsi="Arial" w:cs="Arial"/>
          <w:color w:val="000000"/>
        </w:rPr>
        <w:t>USA and Canada</w:t>
      </w:r>
      <w:r w:rsidR="00A64C7F" w:rsidRPr="00177AA4">
        <w:rPr>
          <w:rFonts w:ascii="Arial" w:eastAsia="Arial" w:hAnsi="Arial" w:cs="Arial"/>
          <w:color w:val="000000"/>
          <w:lang w:val="en-GB"/>
        </w:rPr>
        <w:t>.</w:t>
      </w:r>
      <w:r w:rsidR="00B62B12" w:rsidRPr="00177AA4">
        <w:rPr>
          <w:rFonts w:ascii="Arial" w:eastAsia="Arial" w:hAnsi="Arial" w:cs="Arial"/>
          <w:color w:val="000000"/>
          <w:lang w:val="en-GB"/>
        </w:rPr>
        <w:t xml:space="preserve"> </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4FB416E7" w:rsidR="00360A38" w:rsidRPr="00B62B12" w:rsidRDefault="008C4F83"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All </w:t>
      </w:r>
      <w:r w:rsidR="00FB686D" w:rsidRPr="00B62B12">
        <w:rPr>
          <w:rFonts w:ascii="Arial" w:eastAsia="Arial" w:hAnsi="Arial" w:cs="Arial"/>
          <w:color w:val="000000"/>
          <w:sz w:val="24"/>
          <w:szCs w:val="24"/>
        </w:rPr>
        <w:t>operations have been wound down</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Pr="00B62B12"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B62B12">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921956C" w14:textId="66418F71" w:rsidR="00B04951" w:rsidRPr="00B62B12" w:rsidRDefault="00B62B12" w:rsidP="00FB686D">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B62B12">
        <w:rPr>
          <w:rFonts w:ascii="Arial" w:eastAsia="Arial" w:hAnsi="Arial" w:cs="Arial"/>
          <w:color w:val="000000"/>
          <w:sz w:val="24"/>
          <w:szCs w:val="24"/>
        </w:rPr>
        <w:t>Nil</w:t>
      </w:r>
    </w:p>
    <w:p w14:paraId="7EA04E83" w14:textId="359891E4" w:rsidR="003C18DC" w:rsidRPr="00B04951" w:rsidRDefault="004E4DBA" w:rsidP="00FB686D">
      <w:pPr>
        <w:pStyle w:val="ListParagraph"/>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B04951">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4E6FE97" w14:textId="05CBBEA7" w:rsidR="00054712" w:rsidRDefault="00F32B52"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Nil</w:t>
      </w:r>
    </w:p>
    <w:p w14:paraId="44426539" w14:textId="77777777" w:rsidR="003C18DC" w:rsidRPr="00B62B12"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w:t>
      </w:r>
      <w:r w:rsidRPr="00B62B12">
        <w:rPr>
          <w:rFonts w:ascii="Arial" w:eastAsia="Arial" w:hAnsi="Arial" w:cs="Arial"/>
          <w:color w:val="000000"/>
          <w:sz w:val="24"/>
          <w:szCs w:val="24"/>
        </w:rPr>
        <w:t>ibe the acquisition of new customers or loss of customers.</w:t>
      </w:r>
    </w:p>
    <w:p w14:paraId="3FA43DC7" w14:textId="75DEECEA" w:rsidR="00FB686D" w:rsidRPr="00B62B12" w:rsidRDefault="00B62B12" w:rsidP="00B62B12">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B62B12">
        <w:rPr>
          <w:rFonts w:ascii="Arial" w:eastAsia="Arial" w:hAnsi="Arial" w:cs="Arial"/>
          <w:color w:val="000000"/>
          <w:sz w:val="24"/>
          <w:szCs w:val="24"/>
        </w:rPr>
        <w:t>Nil</w:t>
      </w:r>
    </w:p>
    <w:p w14:paraId="1446A67E" w14:textId="77777777" w:rsidR="003C18DC" w:rsidRPr="00B62B12"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w:t>
      </w:r>
      <w:r w:rsidRPr="00B62B12">
        <w:rPr>
          <w:rFonts w:ascii="Arial" w:eastAsia="Arial" w:hAnsi="Arial" w:cs="Arial"/>
          <w:color w:val="000000"/>
          <w:sz w:val="24"/>
          <w:szCs w:val="24"/>
        </w:rPr>
        <w:t>names, circulation lists, copyrights, franchises, licenses, patents, software, subscription lists and trade-marks.</w:t>
      </w:r>
    </w:p>
    <w:p w14:paraId="756DFEE5" w14:textId="5CA71F0B" w:rsidR="003C18DC" w:rsidRPr="005522A4" w:rsidRDefault="00C12368">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Nil</w:t>
      </w:r>
    </w:p>
    <w:p w14:paraId="17D89034" w14:textId="77777777" w:rsidR="003C18DC" w:rsidRPr="00B62B12"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B62B12">
        <w:rPr>
          <w:rFonts w:ascii="Arial" w:eastAsia="Arial" w:hAnsi="Arial" w:cs="Arial"/>
          <w:color w:val="000000"/>
          <w:sz w:val="24"/>
          <w:szCs w:val="24"/>
        </w:rPr>
        <w:t>Report on any employee hiring, terminations or lay-offs with details of anticipated length of lay-offs.</w:t>
      </w:r>
    </w:p>
    <w:p w14:paraId="6A20DBDA" w14:textId="36751943" w:rsidR="003C18DC" w:rsidRPr="002D3D9A" w:rsidRDefault="00493AD0">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00FB686D" w:rsidRPr="002D3D9A">
        <w:rPr>
          <w:rFonts w:ascii="Arial" w:eastAsia="Arial" w:hAnsi="Arial" w:cs="Arial"/>
          <w:color w:val="000000"/>
          <w:sz w:val="24"/>
          <w:szCs w:val="24"/>
        </w:rPr>
        <w:t xml:space="preserve"> </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B62B12">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these disputes if applicable. </w:t>
      </w:r>
    </w:p>
    <w:p w14:paraId="67C17075" w14:textId="6A058206" w:rsidR="004B5A1B" w:rsidRDefault="00370B6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CD7C4F6" w14:textId="77777777" w:rsidR="00177AA4"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FC09DB" w14:textId="3FDD31CF" w:rsidR="003C18DC" w:rsidRDefault="003C18DC" w:rsidP="00177AA4">
      <w:pPr>
        <w:pBdr>
          <w:top w:val="nil"/>
          <w:left w:val="nil"/>
          <w:bottom w:val="nil"/>
          <w:right w:val="nil"/>
          <w:between w:val="nil"/>
        </w:pBdr>
        <w:spacing w:before="120"/>
        <w:ind w:left="720"/>
        <w:jc w:val="both"/>
        <w:rPr>
          <w:rFonts w:ascii="Arial" w:eastAsia="Arial" w:hAnsi="Arial" w:cs="Arial"/>
          <w:color w:val="000000"/>
          <w:sz w:val="24"/>
          <w:szCs w:val="24"/>
        </w:rPr>
      </w:pPr>
    </w:p>
    <w:p w14:paraId="7D12C790" w14:textId="686ADE95" w:rsidR="0017420B" w:rsidRPr="00040B96" w:rsidRDefault="00B2067F" w:rsidP="00077A7A">
      <w:pPr>
        <w:pStyle w:val="Default"/>
        <w:numPr>
          <w:ilvl w:val="0"/>
          <w:numId w:val="2"/>
        </w:numPr>
        <w:jc w:val="both"/>
      </w:pPr>
      <w:r>
        <w:rPr>
          <w:rFonts w:ascii="Arial" w:eastAsia="Arial" w:hAnsi="Arial" w:cs="Arial"/>
        </w:rPr>
        <w:t>I</w:t>
      </w:r>
      <w:r w:rsidR="00A63054" w:rsidRPr="00040B96">
        <w:rPr>
          <w:rFonts w:ascii="Arial" w:eastAsia="Arial" w:hAnsi="Arial" w:cs="Arial"/>
        </w:rPr>
        <w:t>n October 2023, t</w:t>
      </w:r>
      <w:r w:rsidR="00B512AC" w:rsidRPr="00040B96">
        <w:rPr>
          <w:rFonts w:ascii="Arial" w:eastAsia="Arial" w:hAnsi="Arial" w:cs="Arial"/>
          <w:lang w:val="en-US"/>
        </w:rPr>
        <w:t xml:space="preserve">he Company and its wholly owned Delaware subsidiary, Steep Hill, Inc. ("Steep Hill US"), reached a settlement with the former Chief Executive Officer of Steep Hill US, </w:t>
      </w:r>
      <w:proofErr w:type="spellStart"/>
      <w:r w:rsidR="00B512AC" w:rsidRPr="00040B96">
        <w:rPr>
          <w:rFonts w:ascii="Arial" w:eastAsia="Arial" w:hAnsi="Arial" w:cs="Arial"/>
          <w:lang w:val="en-US"/>
        </w:rPr>
        <w:t>Jmîchaeĺe</w:t>
      </w:r>
      <w:proofErr w:type="spellEnd"/>
      <w:r w:rsidR="00B512AC" w:rsidRPr="00040B96">
        <w:rPr>
          <w:rFonts w:ascii="Arial" w:eastAsia="Arial" w:hAnsi="Arial" w:cs="Arial"/>
          <w:lang w:val="en-US"/>
        </w:rPr>
        <w:t xml:space="preserve"> Keller, and his consulting company, Delft Blue Horizons B.V. The settlement resolve</w:t>
      </w:r>
      <w:r>
        <w:rPr>
          <w:rFonts w:ascii="Arial" w:eastAsia="Arial" w:hAnsi="Arial" w:cs="Arial"/>
          <w:lang w:val="en-US"/>
        </w:rPr>
        <w:t>d</w:t>
      </w:r>
      <w:r w:rsidR="00B512AC" w:rsidRPr="00040B96">
        <w:rPr>
          <w:rFonts w:ascii="Arial" w:eastAsia="Arial" w:hAnsi="Arial" w:cs="Arial"/>
          <w:lang w:val="en-US"/>
        </w:rPr>
        <w:t xml:space="preserve"> all litigation and release</w:t>
      </w:r>
      <w:r>
        <w:rPr>
          <w:rFonts w:ascii="Arial" w:eastAsia="Arial" w:hAnsi="Arial" w:cs="Arial"/>
          <w:lang w:val="en-US"/>
        </w:rPr>
        <w:t xml:space="preserve">d </w:t>
      </w:r>
      <w:r w:rsidR="00B512AC" w:rsidRPr="00040B96">
        <w:rPr>
          <w:rFonts w:ascii="Arial" w:eastAsia="Arial" w:hAnsi="Arial" w:cs="Arial"/>
          <w:lang w:val="en-US"/>
        </w:rPr>
        <w:t>all claims between the parties. The settlement and release terminate</w:t>
      </w:r>
      <w:r>
        <w:rPr>
          <w:rFonts w:ascii="Arial" w:eastAsia="Arial" w:hAnsi="Arial" w:cs="Arial"/>
          <w:lang w:val="en-US"/>
        </w:rPr>
        <w:t>d</w:t>
      </w:r>
      <w:r w:rsidR="00B512AC" w:rsidRPr="00040B96">
        <w:rPr>
          <w:rFonts w:ascii="Arial" w:eastAsia="Arial" w:hAnsi="Arial" w:cs="Arial"/>
          <w:lang w:val="en-US"/>
        </w:rPr>
        <w:t xml:space="preserve"> the indemnification action brought by Keller in the Chancery Court of the State of Delaware. </w:t>
      </w:r>
      <w:r w:rsidR="00CB4C16" w:rsidRPr="00040B96" w:rsidDel="00CB4C16">
        <w:rPr>
          <w:rFonts w:ascii="Arial" w:eastAsia="Arial" w:hAnsi="Arial" w:cs="Arial"/>
        </w:rPr>
        <w:t xml:space="preserve"> </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Pr="00B62B12"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sidRPr="00B62B12">
        <w:rPr>
          <w:rFonts w:ascii="Arial" w:eastAsia="Arial" w:hAnsi="Arial" w:cs="Arial"/>
          <w:color w:val="000000"/>
          <w:sz w:val="24"/>
          <w:szCs w:val="24"/>
        </w:rPr>
        <w:t>Provide details of any securities issued and options or warrants granted.</w:t>
      </w:r>
    </w:p>
    <w:p w14:paraId="4A594E8E" w14:textId="2560488B" w:rsidR="003C18DC" w:rsidRPr="00B62B12" w:rsidRDefault="00B62B12">
      <w:pPr>
        <w:keepNext/>
        <w:keepLines/>
        <w:numPr>
          <w:ilvl w:val="0"/>
          <w:numId w:val="3"/>
        </w:numPr>
        <w:spacing w:before="120"/>
        <w:jc w:val="both"/>
        <w:rPr>
          <w:sz w:val="24"/>
          <w:szCs w:val="24"/>
        </w:rPr>
      </w:pPr>
      <w:r w:rsidRPr="00B62B12">
        <w:rPr>
          <w:rFonts w:ascii="Arial" w:eastAsia="Arial" w:hAnsi="Arial" w:cs="Arial"/>
          <w:sz w:val="24"/>
          <w:szCs w:val="24"/>
        </w:rPr>
        <w:t>Ni</w:t>
      </w:r>
      <w:r>
        <w:rPr>
          <w:rFonts w:ascii="Arial" w:eastAsia="Arial" w:hAnsi="Arial" w:cs="Arial"/>
          <w:sz w:val="24"/>
          <w:szCs w:val="24"/>
        </w:rPr>
        <w:t>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EC4545B" w14:textId="5596A319" w:rsidR="00F26D5F" w:rsidRPr="00F26D5F" w:rsidRDefault="00F26D5F" w:rsidP="00F26D5F">
      <w:pPr>
        <w:pStyle w:val="ListParagraph"/>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sidRPr="00F26D5F">
        <w:rPr>
          <w:rFonts w:ascii="Arial" w:eastAsia="Arial" w:hAnsi="Arial" w:cs="Arial"/>
          <w:color w:val="000000"/>
          <w:sz w:val="24"/>
          <w:szCs w:val="24"/>
        </w:rPr>
        <w:t>Nil</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31B4C6D" w14:textId="63A80B06" w:rsidR="003C18DC" w:rsidRDefault="002C0AB1">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E97DE2">
        <w:rPr>
          <w:rFonts w:ascii="Arial" w:eastAsia="Arial" w:hAnsi="Arial" w:cs="Arial"/>
          <w:color w:val="000000"/>
          <w:sz w:val="24"/>
          <w:szCs w:val="24"/>
        </w:rPr>
        <w:t>May 3</w:t>
      </w:r>
      <w:r w:rsidR="00E97DE2" w:rsidRPr="00E97DE2">
        <w:rPr>
          <w:rFonts w:ascii="Arial" w:eastAsia="Arial" w:hAnsi="Arial" w:cs="Arial"/>
          <w:color w:val="000000"/>
          <w:sz w:val="24"/>
          <w:szCs w:val="24"/>
          <w:vertAlign w:val="superscript"/>
        </w:rPr>
        <w:t>rd</w:t>
      </w:r>
      <w:r w:rsidR="00D3259E">
        <w:rPr>
          <w:rFonts w:ascii="Arial" w:eastAsia="Arial" w:hAnsi="Arial" w:cs="Arial"/>
          <w:color w:val="000000"/>
          <w:sz w:val="24"/>
          <w:szCs w:val="24"/>
        </w:rPr>
        <w:t>, 2024</w:t>
      </w:r>
    </w:p>
    <w:p w14:paraId="194FAB12" w14:textId="6FB82F6C"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sidR="00B62B12">
        <w:rPr>
          <w:rFonts w:ascii="Arial" w:eastAsia="Arial" w:hAnsi="Arial" w:cs="Arial"/>
          <w:color w:val="000000"/>
          <w:sz w:val="24"/>
          <w:szCs w:val="24"/>
        </w:rPr>
        <w:t xml:space="preserve">Patricia Militello </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1BD6D34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Signature</w:t>
      </w:r>
    </w:p>
    <w:p w14:paraId="006A470D" w14:textId="31530C67" w:rsidR="003C18DC" w:rsidRDefault="00343051">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 xml:space="preserve">Interim CFO </w:t>
      </w:r>
      <w:r w:rsidR="004E4DBA">
        <w:rPr>
          <w:rFonts w:ascii="Arial" w:eastAsia="Arial" w:hAnsi="Arial" w:cs="Arial"/>
          <w:color w:val="000000"/>
          <w:sz w:val="24"/>
          <w:szCs w:val="24"/>
          <w:u w:val="single"/>
        </w:rPr>
        <w:tab/>
      </w:r>
      <w:r w:rsidR="004E4DBA">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3D1146AC"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28A2BE76" w14:textId="666277A4" w:rsidR="00573D4B"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61911806" w14:textId="5C4C1E80" w:rsidR="003C18DC" w:rsidRDefault="00E97DE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April</w:t>
            </w:r>
            <w:r w:rsidR="002A2BD1">
              <w:rPr>
                <w:rFonts w:ascii="Arial" w:eastAsia="Arial" w:hAnsi="Arial" w:cs="Arial"/>
                <w:color w:val="000000"/>
                <w:sz w:val="24"/>
                <w:szCs w:val="24"/>
              </w:rPr>
              <w:t xml:space="preserve"> 2024</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243F69BE" w:rsidR="003C18DC" w:rsidRDefault="00D3259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2024/</w:t>
            </w:r>
            <w:r w:rsidR="00E97DE2">
              <w:rPr>
                <w:rFonts w:ascii="Arial" w:eastAsia="Arial" w:hAnsi="Arial" w:cs="Arial"/>
                <w:color w:val="000000"/>
                <w:sz w:val="24"/>
                <w:szCs w:val="24"/>
              </w:rPr>
              <w:t>May</w:t>
            </w:r>
            <w:r>
              <w:rPr>
                <w:rFonts w:ascii="Arial" w:eastAsia="Arial" w:hAnsi="Arial" w:cs="Arial"/>
                <w:color w:val="000000"/>
                <w:sz w:val="24"/>
                <w:szCs w:val="24"/>
              </w:rPr>
              <w:t>/0</w:t>
            </w:r>
            <w:r w:rsidR="00E97DE2">
              <w:rPr>
                <w:rFonts w:ascii="Arial" w:eastAsia="Arial" w:hAnsi="Arial" w:cs="Arial"/>
                <w:color w:val="000000"/>
                <w:sz w:val="24"/>
                <w:szCs w:val="24"/>
              </w:rPr>
              <w:t>3</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2CEEEF15" w:rsidR="003C18DC" w:rsidRDefault="004E06F1">
            <w:pPr>
              <w:pBdr>
                <w:top w:val="nil"/>
                <w:left w:val="nil"/>
                <w:bottom w:val="nil"/>
                <w:right w:val="nil"/>
                <w:between w:val="nil"/>
              </w:pBdr>
              <w:rPr>
                <w:rFonts w:ascii="Arial" w:eastAsia="Arial" w:hAnsi="Arial" w:cs="Arial"/>
                <w:color w:val="000000"/>
                <w:sz w:val="24"/>
                <w:szCs w:val="24"/>
              </w:rPr>
            </w:pPr>
            <w:r w:rsidRPr="004E06F1">
              <w:rPr>
                <w:rFonts w:ascii="Arial" w:eastAsia="Arial" w:hAnsi="Arial" w:cs="Arial"/>
                <w:color w:val="000000"/>
                <w:sz w:val="24"/>
                <w:szCs w:val="24"/>
              </w:rPr>
              <w:t>30 Commercial Rd</w:t>
            </w:r>
            <w:r>
              <w:rPr>
                <w:rFonts w:ascii="Arial" w:eastAsia="Arial" w:hAnsi="Arial" w:cs="Arial"/>
                <w:color w:val="000000"/>
                <w:sz w:val="24"/>
                <w:szCs w:val="24"/>
              </w:rPr>
              <w:t xml:space="preserve">., </w:t>
            </w:r>
            <w:r w:rsidRPr="004E06F1">
              <w:rPr>
                <w:rFonts w:ascii="Arial" w:eastAsia="Arial" w:hAnsi="Arial" w:cs="Arial"/>
                <w:color w:val="000000"/>
                <w:sz w:val="24"/>
                <w:szCs w:val="24"/>
              </w:rPr>
              <w:t>East York, ON M4G 1Z4</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23472305" w:rsidR="003C18DC" w:rsidRDefault="004E06F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East York</w:t>
            </w:r>
            <w:r w:rsidR="004E4DBA">
              <w:rPr>
                <w:rFonts w:ascii="Arial" w:eastAsia="Arial" w:hAnsi="Arial" w:cs="Arial"/>
                <w:color w:val="000000"/>
                <w:sz w:val="24"/>
                <w:szCs w:val="24"/>
              </w:rPr>
              <w:t>, ON, M</w:t>
            </w:r>
            <w:r>
              <w:rPr>
                <w:rFonts w:ascii="Arial" w:eastAsia="Arial" w:hAnsi="Arial" w:cs="Arial"/>
                <w:color w:val="000000"/>
                <w:sz w:val="24"/>
                <w:szCs w:val="24"/>
              </w:rPr>
              <w:t>4G</w:t>
            </w:r>
            <w:r w:rsidR="004E4DBA">
              <w:rPr>
                <w:rFonts w:ascii="Arial" w:eastAsia="Arial" w:hAnsi="Arial" w:cs="Arial"/>
                <w:color w:val="000000"/>
                <w:sz w:val="24"/>
                <w:szCs w:val="24"/>
              </w:rPr>
              <w:t xml:space="preserve"> </w:t>
            </w:r>
            <w:r>
              <w:rPr>
                <w:rFonts w:ascii="Arial" w:eastAsia="Arial" w:hAnsi="Arial" w:cs="Arial"/>
                <w:color w:val="000000"/>
                <w:sz w:val="24"/>
                <w:szCs w:val="24"/>
              </w:rPr>
              <w:t>1Z4</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2BACF992"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(416) </w:t>
            </w:r>
            <w:r w:rsidR="00B62B12">
              <w:rPr>
                <w:rFonts w:ascii="Arial" w:eastAsia="Arial" w:hAnsi="Arial" w:cs="Arial"/>
                <w:color w:val="000000"/>
                <w:sz w:val="24"/>
                <w:szCs w:val="24"/>
              </w:rPr>
              <w:t>9222448, ext224</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480F6BED" w:rsidR="003C18DC" w:rsidRDefault="00B62B1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Patricia Militello </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0A918271"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6F2210">
              <w:rPr>
                <w:rFonts w:ascii="Arial" w:eastAsia="Arial" w:hAnsi="Arial" w:cs="Arial"/>
                <w:color w:val="000000"/>
                <w:sz w:val="24"/>
                <w:szCs w:val="24"/>
              </w:rPr>
              <w:t>F</w:t>
            </w:r>
            <w:r>
              <w:rPr>
                <w:rFonts w:ascii="Arial" w:eastAsia="Arial" w:hAnsi="Arial" w:cs="Arial"/>
                <w:color w:val="000000"/>
                <w:sz w:val="24"/>
                <w:szCs w:val="24"/>
              </w:rPr>
              <w:t>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1137FB36" w:rsidR="003C18DC" w:rsidRDefault="00B62B1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(416) 9222448, ext224</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44C3548F" w:rsidR="003C18DC" w:rsidRDefault="000E4BEE">
            <w:pPr>
              <w:pBdr>
                <w:top w:val="nil"/>
                <w:left w:val="nil"/>
                <w:bottom w:val="nil"/>
                <w:right w:val="nil"/>
                <w:between w:val="nil"/>
              </w:pBdr>
              <w:rPr>
                <w:rFonts w:ascii="Arial" w:eastAsia="Arial" w:hAnsi="Arial" w:cs="Arial"/>
                <w:color w:val="000000"/>
                <w:sz w:val="24"/>
                <w:szCs w:val="24"/>
              </w:rPr>
            </w:pPr>
            <w:hyperlink r:id="rId9" w:history="1">
              <w:r w:rsidR="001E4A06" w:rsidRPr="003579F9">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4FC034" w:rsidR="001E4A06" w:rsidRPr="001E4A06" w:rsidRDefault="000E4BEE">
            <w:pPr>
              <w:pBdr>
                <w:top w:val="nil"/>
                <w:left w:val="nil"/>
                <w:bottom w:val="nil"/>
                <w:right w:val="nil"/>
                <w:between w:val="nil"/>
              </w:pBdr>
            </w:pPr>
            <w:hyperlink r:id="rId10" w:history="1">
              <w:r w:rsidR="001E4A06" w:rsidRPr="003579F9">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1"/>
      <w:headerReference w:type="default" r:id="rId12"/>
      <w:footerReference w:type="default" r:id="rId13"/>
      <w:footerReference w:type="first" r:id="rId14"/>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8448B" w14:textId="77777777" w:rsidR="00717381" w:rsidRDefault="00717381">
      <w:r>
        <w:separator/>
      </w:r>
    </w:p>
  </w:endnote>
  <w:endnote w:type="continuationSeparator" w:id="0">
    <w:p w14:paraId="0F4A881E" w14:textId="77777777" w:rsidR="00717381" w:rsidRDefault="0071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s">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47F7159A" id="_x0000_t32" coordsize="21600,21600" o:spt="32" o:oned="t" path="m,l21600,21600e" filled="f">
              <v:path arrowok="t" fillok="f" o:connecttype="none"/>
              <o:lock v:ext="edit" shapetype="t"/>
            </v:shapetype>
            <v:shape id="Straight Arrow Connector 15" o:spid="_x0000_s1026" type="#_x0000_t32" style="position:absolute;margin-left:6pt;margin-top:-12pt;width:466.2pt;height:5.5pt;rotation:18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">
              <v:stroke startarrowwidth="narrow" startarrowlength="short" endarrowwidth="narrow" endarrowlength="short"/>
            </v:shape>
          </w:pict>
        </mc:Fallback>
      </mc:AlternateContent>
    </w:r>
  </w:p>
  <w:p w14:paraId="66AEB596" w14:textId="3BE7B867" w:rsidR="003C18DC" w:rsidRDefault="008C4F83">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February </w:t>
    </w:r>
    <w:r w:rsidR="004E4DBA">
      <w:rPr>
        <w:rFonts w:ascii="Arial" w:eastAsia="Arial" w:hAnsi="Arial" w:cs="Arial"/>
        <w:color w:val="000000"/>
        <w:sz w:val="16"/>
        <w:szCs w:val="16"/>
      </w:rPr>
      <w:t>20</w:t>
    </w:r>
    <w:r>
      <w:rPr>
        <w:rFonts w:ascii="Arial" w:eastAsia="Arial" w:hAnsi="Arial" w:cs="Arial"/>
        <w:color w:val="000000"/>
        <w:sz w:val="16"/>
        <w:szCs w:val="16"/>
      </w:rPr>
      <w:t>24</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s">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41298751" id="_x0000_t32" coordsize="21600,21600" o:spt="32" o:oned="t" path="m,l21600,21600e" filled="f">
              <v:path arrowok="t" fillok="f" o:connecttype="none"/>
              <o:lock v:ext="edit" shapetype="t"/>
            </v:shapetype>
            <v:shape id="Straight Arrow Connector 16" o:spid="_x0000_s1026" type="#_x0000_t32" style="position:absolute;margin-left:6pt;margin-top:-12pt;width:466.2pt;height:5.5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">
              <v:stroke startarrowwidth="narrow" startarrowlength="short" endarrowwidth="narrow" endarrowlength="short"/>
            </v:shape>
          </w:pict>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A5C19" w14:textId="77777777" w:rsidR="00717381" w:rsidRDefault="00717381">
      <w:r>
        <w:separator/>
      </w:r>
    </w:p>
  </w:footnote>
  <w:footnote w:type="continuationSeparator" w:id="0">
    <w:p w14:paraId="7141C4A0" w14:textId="77777777" w:rsidR="00717381" w:rsidRDefault="0071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11EDA"/>
    <w:rsid w:val="000241E4"/>
    <w:rsid w:val="00035D22"/>
    <w:rsid w:val="00036147"/>
    <w:rsid w:val="00040B96"/>
    <w:rsid w:val="000445D5"/>
    <w:rsid w:val="00054712"/>
    <w:rsid w:val="00071ED2"/>
    <w:rsid w:val="00073A69"/>
    <w:rsid w:val="00077A7A"/>
    <w:rsid w:val="000804FC"/>
    <w:rsid w:val="00090D4E"/>
    <w:rsid w:val="000C607F"/>
    <w:rsid w:val="000C692E"/>
    <w:rsid w:val="000C7D11"/>
    <w:rsid w:val="000E4BEE"/>
    <w:rsid w:val="000E78FE"/>
    <w:rsid w:val="001046E8"/>
    <w:rsid w:val="001341FF"/>
    <w:rsid w:val="00143E96"/>
    <w:rsid w:val="00144958"/>
    <w:rsid w:val="00156859"/>
    <w:rsid w:val="00160E9C"/>
    <w:rsid w:val="001669EC"/>
    <w:rsid w:val="00167EA0"/>
    <w:rsid w:val="0017420B"/>
    <w:rsid w:val="00177AA4"/>
    <w:rsid w:val="00181D67"/>
    <w:rsid w:val="001846B5"/>
    <w:rsid w:val="00194B2C"/>
    <w:rsid w:val="001C2373"/>
    <w:rsid w:val="001C618E"/>
    <w:rsid w:val="001E4A06"/>
    <w:rsid w:val="001F1854"/>
    <w:rsid w:val="001F402A"/>
    <w:rsid w:val="0020176B"/>
    <w:rsid w:val="002022A0"/>
    <w:rsid w:val="00223F84"/>
    <w:rsid w:val="002535A8"/>
    <w:rsid w:val="002631AE"/>
    <w:rsid w:val="00267EB8"/>
    <w:rsid w:val="002A2BD1"/>
    <w:rsid w:val="002B4D1A"/>
    <w:rsid w:val="002C0356"/>
    <w:rsid w:val="002C0AB1"/>
    <w:rsid w:val="002D3D9A"/>
    <w:rsid w:val="002E4F33"/>
    <w:rsid w:val="002F31F1"/>
    <w:rsid w:val="003425D8"/>
    <w:rsid w:val="00342F86"/>
    <w:rsid w:val="00343051"/>
    <w:rsid w:val="00346EE4"/>
    <w:rsid w:val="0035112F"/>
    <w:rsid w:val="00360A38"/>
    <w:rsid w:val="00370B6B"/>
    <w:rsid w:val="00374457"/>
    <w:rsid w:val="00377B19"/>
    <w:rsid w:val="003B3540"/>
    <w:rsid w:val="003B5D83"/>
    <w:rsid w:val="003B670B"/>
    <w:rsid w:val="003C0F90"/>
    <w:rsid w:val="003C18DC"/>
    <w:rsid w:val="003C2446"/>
    <w:rsid w:val="003C62E0"/>
    <w:rsid w:val="003D29E8"/>
    <w:rsid w:val="003D5CE5"/>
    <w:rsid w:val="004024FF"/>
    <w:rsid w:val="00411DC7"/>
    <w:rsid w:val="00412CB5"/>
    <w:rsid w:val="004347F0"/>
    <w:rsid w:val="00435018"/>
    <w:rsid w:val="00470382"/>
    <w:rsid w:val="00472ECC"/>
    <w:rsid w:val="00493AD0"/>
    <w:rsid w:val="00494267"/>
    <w:rsid w:val="004A2AEA"/>
    <w:rsid w:val="004B05BE"/>
    <w:rsid w:val="004B5A1B"/>
    <w:rsid w:val="004C32B2"/>
    <w:rsid w:val="004C592A"/>
    <w:rsid w:val="004E06F1"/>
    <w:rsid w:val="004E4DBA"/>
    <w:rsid w:val="004F1C6D"/>
    <w:rsid w:val="0050067D"/>
    <w:rsid w:val="00506470"/>
    <w:rsid w:val="005161CD"/>
    <w:rsid w:val="005522A4"/>
    <w:rsid w:val="00563FBE"/>
    <w:rsid w:val="00573D4B"/>
    <w:rsid w:val="00583832"/>
    <w:rsid w:val="005B58CF"/>
    <w:rsid w:val="005D5AF3"/>
    <w:rsid w:val="005E0D6F"/>
    <w:rsid w:val="00607918"/>
    <w:rsid w:val="006174DC"/>
    <w:rsid w:val="006408BC"/>
    <w:rsid w:val="00660D80"/>
    <w:rsid w:val="006729C0"/>
    <w:rsid w:val="006B7DC7"/>
    <w:rsid w:val="006C090A"/>
    <w:rsid w:val="006F2210"/>
    <w:rsid w:val="006F37B0"/>
    <w:rsid w:val="006F4ED3"/>
    <w:rsid w:val="006F5511"/>
    <w:rsid w:val="0070598D"/>
    <w:rsid w:val="00716C44"/>
    <w:rsid w:val="00717381"/>
    <w:rsid w:val="0074519A"/>
    <w:rsid w:val="00761A41"/>
    <w:rsid w:val="00762984"/>
    <w:rsid w:val="007B5450"/>
    <w:rsid w:val="007B705C"/>
    <w:rsid w:val="007C2D5D"/>
    <w:rsid w:val="007E7B19"/>
    <w:rsid w:val="007F4E19"/>
    <w:rsid w:val="00805AEF"/>
    <w:rsid w:val="00805EA0"/>
    <w:rsid w:val="00826133"/>
    <w:rsid w:val="0084413E"/>
    <w:rsid w:val="0085597A"/>
    <w:rsid w:val="00866D91"/>
    <w:rsid w:val="008672CB"/>
    <w:rsid w:val="00874EEC"/>
    <w:rsid w:val="008B0896"/>
    <w:rsid w:val="008B5889"/>
    <w:rsid w:val="008B6744"/>
    <w:rsid w:val="008C4F83"/>
    <w:rsid w:val="008D4BB7"/>
    <w:rsid w:val="008E54DF"/>
    <w:rsid w:val="008F4260"/>
    <w:rsid w:val="00916F52"/>
    <w:rsid w:val="00916FD8"/>
    <w:rsid w:val="00927816"/>
    <w:rsid w:val="00937ADD"/>
    <w:rsid w:val="009746E2"/>
    <w:rsid w:val="009A11FB"/>
    <w:rsid w:val="009D09BF"/>
    <w:rsid w:val="009E21D3"/>
    <w:rsid w:val="00A018F7"/>
    <w:rsid w:val="00A10D31"/>
    <w:rsid w:val="00A34D22"/>
    <w:rsid w:val="00A63054"/>
    <w:rsid w:val="00A64C7F"/>
    <w:rsid w:val="00A76996"/>
    <w:rsid w:val="00A81A79"/>
    <w:rsid w:val="00AA7D71"/>
    <w:rsid w:val="00AD2ABC"/>
    <w:rsid w:val="00B03177"/>
    <w:rsid w:val="00B04951"/>
    <w:rsid w:val="00B2067F"/>
    <w:rsid w:val="00B33B36"/>
    <w:rsid w:val="00B34A24"/>
    <w:rsid w:val="00B512AC"/>
    <w:rsid w:val="00B53624"/>
    <w:rsid w:val="00B614BF"/>
    <w:rsid w:val="00B62B12"/>
    <w:rsid w:val="00B95678"/>
    <w:rsid w:val="00B95DDF"/>
    <w:rsid w:val="00B9705B"/>
    <w:rsid w:val="00B97BAD"/>
    <w:rsid w:val="00BC5669"/>
    <w:rsid w:val="00BF35A3"/>
    <w:rsid w:val="00C12368"/>
    <w:rsid w:val="00C2658D"/>
    <w:rsid w:val="00C41752"/>
    <w:rsid w:val="00CA7880"/>
    <w:rsid w:val="00CB4C16"/>
    <w:rsid w:val="00CC5567"/>
    <w:rsid w:val="00CE2918"/>
    <w:rsid w:val="00D0132D"/>
    <w:rsid w:val="00D3067E"/>
    <w:rsid w:val="00D3259E"/>
    <w:rsid w:val="00D44A19"/>
    <w:rsid w:val="00D7233B"/>
    <w:rsid w:val="00D85315"/>
    <w:rsid w:val="00D9486A"/>
    <w:rsid w:val="00DA07D3"/>
    <w:rsid w:val="00DB4B70"/>
    <w:rsid w:val="00DE29AE"/>
    <w:rsid w:val="00DE2FC1"/>
    <w:rsid w:val="00DE3385"/>
    <w:rsid w:val="00E03284"/>
    <w:rsid w:val="00E1799D"/>
    <w:rsid w:val="00E27870"/>
    <w:rsid w:val="00E27E29"/>
    <w:rsid w:val="00E30266"/>
    <w:rsid w:val="00E30A3A"/>
    <w:rsid w:val="00E41DC9"/>
    <w:rsid w:val="00E515EA"/>
    <w:rsid w:val="00E51CA4"/>
    <w:rsid w:val="00E54172"/>
    <w:rsid w:val="00E635C7"/>
    <w:rsid w:val="00E85484"/>
    <w:rsid w:val="00E91D92"/>
    <w:rsid w:val="00E96E9B"/>
    <w:rsid w:val="00E97DE2"/>
    <w:rsid w:val="00EB0D31"/>
    <w:rsid w:val="00ED47AF"/>
    <w:rsid w:val="00EE01BA"/>
    <w:rsid w:val="00F02BA7"/>
    <w:rsid w:val="00F0415C"/>
    <w:rsid w:val="00F06382"/>
    <w:rsid w:val="00F078BB"/>
    <w:rsid w:val="00F12218"/>
    <w:rsid w:val="00F26D5F"/>
    <w:rsid w:val="00F32B52"/>
    <w:rsid w:val="00F52586"/>
    <w:rsid w:val="00F5641E"/>
    <w:rsid w:val="00F81151"/>
    <w:rsid w:val="00F87705"/>
    <w:rsid w:val="00FA3B6D"/>
    <w:rsid w:val="00FB12D7"/>
    <w:rsid w:val="00FB686D"/>
    <w:rsid w:val="00FD2456"/>
    <w:rsid w:val="00FD7D1E"/>
    <w:rsid w:val="00FE4C0D"/>
    <w:rsid w:val="00FE4CD3"/>
    <w:rsid w:val="00FF5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 w:type="paragraph" w:customStyle="1" w:styleId="Default">
    <w:name w:val="Default"/>
    <w:rsid w:val="0017420B"/>
    <w:pPr>
      <w:autoSpaceDE w:val="0"/>
      <w:autoSpaceDN w:val="0"/>
      <w:adjustRightInd w:val="0"/>
    </w:pPr>
    <w:rPr>
      <w:color w:val="000000"/>
      <w:sz w:val="24"/>
      <w:szCs w:val="24"/>
      <w:lang w:val="en-CA"/>
    </w:rPr>
  </w:style>
  <w:style w:type="paragraph" w:styleId="Revision">
    <w:name w:val="Revision"/>
    <w:hidden/>
    <w:uiPriority w:val="99"/>
    <w:semiHidden/>
    <w:rsid w:val="00E3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15761">
      <w:bodyDiv w:val="1"/>
      <w:marLeft w:val="0"/>
      <w:marRight w:val="0"/>
      <w:marTop w:val="0"/>
      <w:marBottom w:val="0"/>
      <w:divBdr>
        <w:top w:val="none" w:sz="0" w:space="0" w:color="auto"/>
        <w:left w:val="none" w:sz="0" w:space="0" w:color="auto"/>
        <w:bottom w:val="none" w:sz="0" w:space="0" w:color="auto"/>
        <w:right w:val="none" w:sz="0" w:space="0" w:color="auto"/>
      </w:divBdr>
    </w:div>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311106559">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747845105">
      <w:bodyDiv w:val="1"/>
      <w:marLeft w:val="0"/>
      <w:marRight w:val="0"/>
      <w:marTop w:val="0"/>
      <w:marBottom w:val="0"/>
      <w:divBdr>
        <w:top w:val="none" w:sz="0" w:space="0" w:color="auto"/>
        <w:left w:val="none" w:sz="0" w:space="0" w:color="auto"/>
        <w:bottom w:val="none" w:sz="0" w:space="0" w:color="auto"/>
        <w:right w:val="none" w:sz="0" w:space="0" w:color="auto"/>
      </w:divBdr>
    </w:div>
    <w:div w:id="931284998">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 w:id="1378360750">
      <w:bodyDiv w:val="1"/>
      <w:marLeft w:val="0"/>
      <w:marRight w:val="0"/>
      <w:marTop w:val="0"/>
      <w:marBottom w:val="0"/>
      <w:divBdr>
        <w:top w:val="none" w:sz="0" w:space="0" w:color="auto"/>
        <w:left w:val="none" w:sz="0" w:space="0" w:color="auto"/>
        <w:bottom w:val="none" w:sz="0" w:space="0" w:color="auto"/>
        <w:right w:val="none" w:sz="0" w:space="0" w:color="auto"/>
      </w:divBdr>
    </w:div>
    <w:div w:id="1754476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eephill.com" TargetMode="External"/><Relationship Id="rId4" Type="http://schemas.openxmlformats.org/officeDocument/2006/relationships/styles" Target="styles.xml"/><Relationship Id="rId9" Type="http://schemas.openxmlformats.org/officeDocument/2006/relationships/hyperlink" Target="mailto:ir@steephil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B5EB9AB6-9B98-4ECA-9EA3-1EDE8E6274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Patricia Militello</cp:lastModifiedBy>
  <cp:revision>2</cp:revision>
  <dcterms:created xsi:type="dcterms:W3CDTF">2024-05-03T18:32:00Z</dcterms:created>
  <dcterms:modified xsi:type="dcterms:W3CDTF">2024-05-03T18:32:00Z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